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4536"/>
        <w:gridCol w:w="5245"/>
      </w:tblGrid>
      <w:tr w:rsidR="00FD2B27">
        <w:trPr>
          <w:trHeight w:val="3964"/>
        </w:trPr>
        <w:tc>
          <w:tcPr>
            <w:tcW w:w="4536" w:type="dxa"/>
            <w:shd w:val="clear" w:color="auto" w:fill="auto"/>
          </w:tcPr>
          <w:p w:rsidR="00FD2B27" w:rsidRDefault="000B6BBF">
            <w:pPr>
              <w:keepNext/>
              <w:spacing w:before="260"/>
              <w:jc w:val="center"/>
              <w:outlineLvl w:val="3"/>
              <w:rPr>
                <w:bCs/>
                <w:color w:val="0062AC"/>
                <w:spacing w:val="4"/>
                <w:sz w:val="18"/>
                <w:szCs w:val="18"/>
              </w:rPr>
            </w:pPr>
            <w:bookmarkStart w:id="0" w:name="_GoBack"/>
            <w:bookmarkEnd w:id="0"/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0" allowOverlap="1">
                  <wp:simplePos x="0" y="0"/>
                  <wp:positionH relativeFrom="page">
                    <wp:posOffset>1150620</wp:posOffset>
                  </wp:positionH>
                  <wp:positionV relativeFrom="page">
                    <wp:posOffset>2571750</wp:posOffset>
                  </wp:positionV>
                  <wp:extent cx="2499836" cy="285274"/>
                  <wp:effectExtent l="0" t="0" r="0" b="0"/>
                  <wp:wrapNone/>
                  <wp:docPr id="3" name="#L@nDocs$t@mp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9836" cy="285274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Cs/>
                <w:color w:val="0062AC"/>
                <w:spacing w:val="4"/>
                <w:sz w:val="18"/>
                <w:szCs w:val="18"/>
              </w:rPr>
              <w:t>МИНИСТЕРСТВО ФИНАНСОВ</w:t>
            </w:r>
          </w:p>
          <w:p w:rsidR="00FD2B27" w:rsidRDefault="000B6BBF">
            <w:pPr>
              <w:keepNext/>
              <w:spacing w:after="160"/>
              <w:jc w:val="center"/>
              <w:outlineLvl w:val="3"/>
              <w:rPr>
                <w:bCs/>
                <w:color w:val="0062AC"/>
                <w:spacing w:val="4"/>
                <w:sz w:val="18"/>
                <w:szCs w:val="18"/>
              </w:rPr>
            </w:pPr>
            <w:r>
              <w:rPr>
                <w:bCs/>
                <w:color w:val="0062AC"/>
                <w:spacing w:val="4"/>
                <w:sz w:val="18"/>
                <w:szCs w:val="18"/>
              </w:rPr>
              <w:t>РОССИЙСКОЙ ФЕДЕРАЦИИ</w:t>
            </w:r>
          </w:p>
          <w:p w:rsidR="00FD2B27" w:rsidRDefault="000B6BBF">
            <w:pPr>
              <w:keepNext/>
              <w:jc w:val="center"/>
              <w:outlineLvl w:val="2"/>
              <w:rPr>
                <w:b/>
                <w:bCs/>
                <w:color w:val="0062AC"/>
                <w:spacing w:val="4"/>
              </w:rPr>
            </w:pPr>
            <w:r>
              <w:rPr>
                <w:b/>
                <w:bCs/>
                <w:color w:val="0062AC"/>
                <w:spacing w:val="4"/>
              </w:rPr>
              <w:t>ФЕДЕРАЛЬНОЕ КАЗНАЧЕЙСТВО</w:t>
            </w:r>
          </w:p>
          <w:p w:rsidR="00FD2B27" w:rsidRDefault="000B6BBF">
            <w:pPr>
              <w:keepNext/>
              <w:jc w:val="center"/>
              <w:outlineLvl w:val="2"/>
              <w:rPr>
                <w:b/>
                <w:bCs/>
                <w:color w:val="0062AC"/>
                <w:w w:val="110"/>
                <w:sz w:val="18"/>
                <w:szCs w:val="18"/>
              </w:rPr>
            </w:pPr>
            <w:r>
              <w:rPr>
                <w:b/>
                <w:bCs/>
                <w:color w:val="0062AC"/>
                <w:spacing w:val="4"/>
                <w:sz w:val="18"/>
                <w:szCs w:val="18"/>
              </w:rPr>
              <w:t>(КАЗНАЧЕЙСТВО РОССИИ)</w:t>
            </w:r>
          </w:p>
          <w:p w:rsidR="00FD2B27" w:rsidRDefault="000B6BBF">
            <w:pPr>
              <w:keepNext/>
              <w:spacing w:before="220" w:after="340"/>
              <w:jc w:val="center"/>
              <w:outlineLvl w:val="2"/>
              <w:rPr>
                <w:b/>
                <w:bCs/>
                <w:color w:val="0062AC"/>
                <w:spacing w:val="38"/>
                <w:w w:val="110"/>
              </w:rPr>
            </w:pPr>
            <w:r>
              <w:rPr>
                <w:b/>
                <w:bCs/>
                <w:snapToGrid w:val="0"/>
                <w:color w:val="0062AC"/>
                <w:spacing w:val="38"/>
              </w:rPr>
              <w:t>РУКОВОДИТЕЛ</w:t>
            </w:r>
            <w:r>
              <w:rPr>
                <w:b/>
                <w:bCs/>
                <w:snapToGrid w:val="0"/>
                <w:color w:val="0062AC"/>
              </w:rPr>
              <w:t>Ь</w:t>
            </w:r>
          </w:p>
          <w:p w:rsidR="00FD2B27" w:rsidRDefault="000B6BBF"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Большой Златоустинский переулок,</w:t>
            </w:r>
          </w:p>
          <w:p w:rsidR="00FD2B27" w:rsidRDefault="000B6BBF"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д. 6, стр. 1, г. Москва, 101000</w:t>
            </w:r>
          </w:p>
          <w:p w:rsidR="00FD2B27" w:rsidRDefault="000B6BBF"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 xml:space="preserve">тел. +7 (495) </w:t>
            </w: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214-72-97  факс +7 (495) 214-73-34</w:t>
            </w:r>
          </w:p>
          <w:p w:rsidR="00FD2B27" w:rsidRDefault="000B6BBF">
            <w:pPr>
              <w:spacing w:after="240"/>
              <w:jc w:val="center"/>
              <w:rPr>
                <w:b/>
                <w:bCs/>
                <w:snapToGrid w:val="0"/>
                <w:color w:val="0062AC"/>
                <w:sz w:val="16"/>
                <w:szCs w:val="20"/>
              </w:rPr>
            </w:pP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www</w:t>
            </w: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roskazna</w:t>
            </w: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ru</w:t>
            </w:r>
          </w:p>
          <w:p w:rsidR="00FD2B27" w:rsidRDefault="000B6BBF">
            <w:pPr>
              <w:tabs>
                <w:tab w:val="left" w:pos="2019"/>
              </w:tabs>
              <w:spacing w:after="100"/>
              <w:ind w:left="176" w:right="176"/>
              <w:rPr>
                <w:bCs/>
                <w:snapToGrid w:val="0"/>
                <w:color w:val="0062AC"/>
                <w:sz w:val="18"/>
                <w:szCs w:val="18"/>
              </w:rPr>
            </w:pPr>
            <w:r>
              <w:rPr>
                <w:bCs/>
                <w:snapToGrid w:val="0"/>
                <w:color w:val="0062AC"/>
                <w:sz w:val="18"/>
                <w:szCs w:val="18"/>
              </w:rPr>
              <w:t>____________________ № ____________________</w:t>
            </w:r>
          </w:p>
          <w:p w:rsidR="00FD2B27" w:rsidRDefault="000B6BBF">
            <w:pPr>
              <w:tabs>
                <w:tab w:val="left" w:pos="743"/>
              </w:tabs>
              <w:ind w:left="176"/>
              <w:rPr>
                <w:bCs/>
                <w:snapToGrid w:val="0"/>
                <w:color w:val="0070C0"/>
                <w:sz w:val="18"/>
                <w:szCs w:val="18"/>
              </w:rPr>
            </w:pPr>
            <w:r>
              <w:rPr>
                <w:noProof/>
                <w:color w:val="0062AC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188595</wp:posOffset>
                      </wp:positionV>
                      <wp:extent cx="2160270" cy="0"/>
                      <wp:effectExtent l="8255" t="7620" r="12700" b="1143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algn="ctr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E6169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2.9pt,14.85pt" to="203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/zQVwIAAGMEAAAOAAAAZHJzL2Uyb0RvYy54bWysVN1u0zAUvkfiHSzfd0m60m3R0mlKWm4G&#10;TNp4ANd2mgjHtmy3aYWQgGukPQKvwAVIkwY8Q/pGHLs/ULhBiBv32D7ny3e+87nnF8tGoAU3tlYy&#10;w8lRjBGXVLFazjL88nbSO8XIOiIZEUryDK+4xRejx4/OW53yvqqUYNwgAJE2bXWGK+d0GkWWVrwh&#10;9khpLuGyVKYhDrZmFjFDWkBvRNSP42HUKsO0UZRbC6fF5hKPAn5ZcupelKXlDokMAzcXVhPWqV+j&#10;0TlJZ4boqqZbGuQfWDSklvDRPVRBHEFzU/8B1dTUKKtKd0RVE6myrCkPPUA3SfxbNzcV0Tz0AuJY&#10;vZfJ/j9Y+nxxbVDNYHYYSdLAiLqP67fru+5r92l9h9bvuu/dl+5zd9996+7X7yF+WH+A2F92D9vj&#10;O5R4JVttUwDM5bXxWtClvNFXir6ySKq8InLGQ0e3Kw2fCRXRQYnfWA18pu0zxSCHzJ0Ksi5L03hI&#10;EAwtw/RW++nxpUMUDvvJMO6fwJDp7i4i6a5QG+uectUgH2RY1NILS1KyuLIOqEPqLsUfSzWphQjm&#10;EBK1GT5OTp5gRMQMXE6dCbVWiZr5PF9hzWyaC4MWxDstHvYvcy8J4B6kGTWXLOBWnLDxNnakFpsY&#10;8oX0eNAVMNtGGyu9PovPxqfj00Fv0B+Oe4O4KHqXk3zQG06AXXFc5HmRvPHUkkFa1Yxx6dntbJ0M&#10;/s422we2MeTe2HtFokP00CKQ3f0G0mGsfpIbT0wVW10br4afMDg5JG9fnX8qv+5D1s//htEPAAAA&#10;//8DAFBLAwQUAAYACAAAACEANNna7twAAAAIAQAADwAAAGRycy9kb3ducmV2LnhtbEyPwU7DMBBE&#10;70j8g7VIXBC1idq0DXEqQGruLT3AzY23SUS8jmKnDX/PIg70uDujmTf5ZnKdOOMQWk8anmYKBFLl&#10;bUu1hsP79nEFIkRD1nSeUMM3BtgUtze5yay/0A7P+1gLDqGQGQ1NjH0mZagadCbMfI/E2skPzkQ+&#10;h1rawVw43HUyUSqVzrTEDY3p8a3B6ms/Ou59+HhVw64cPw/Jsl/My/W2VFHr+7vp5RlExCn+m+EX&#10;n9GhYKajH8kG0WlIF0weNSTrJQjW5yrlbce/hyxyeT2g+AEAAP//AwBQSwECLQAUAAYACAAAACEA&#10;toM4kv4AAADhAQAAEwAAAAAAAAAAAAAAAAAAAAAAW0NvbnRlbnRfVHlwZXNdLnhtbFBLAQItABQA&#10;BgAIAAAAIQA4/SH/1gAAAJQBAAALAAAAAAAAAAAAAAAAAC8BAABfcmVscy8ucmVsc1BLAQItABQA&#10;BgAIAAAAIQDun/zQVwIAAGMEAAAOAAAAAAAAAAAAAAAAAC4CAABkcnMvZTJvRG9jLnhtbFBLAQIt&#10;ABQABgAIAAAAIQA02dru3AAAAAgBAAAPAAAAAAAAAAAAAAAAALEEAABkcnMvZG93bnJldi54bWxQ&#10;SwUGAAAAAAQABADzAAAAugUAAAAA&#10;" strokecolor="#0062ac" strokeweight=".25pt"/>
                  </w:pict>
                </mc:Fallback>
              </mc:AlternateContent>
            </w:r>
            <w:r>
              <w:rPr>
                <w:bCs/>
                <w:snapToGrid w:val="0"/>
                <w:color w:val="0062AC"/>
                <w:sz w:val="18"/>
                <w:szCs w:val="18"/>
              </w:rPr>
              <w:t>На №</w:t>
            </w:r>
            <w:r>
              <w:rPr>
                <w:bCs/>
                <w:snapToGrid w:val="0"/>
                <w:color w:val="0062AC"/>
                <w:sz w:val="28"/>
                <w:szCs w:val="28"/>
              </w:rPr>
              <w:tab/>
            </w:r>
          </w:p>
        </w:tc>
        <w:tc>
          <w:tcPr>
            <w:tcW w:w="5245" w:type="dxa"/>
            <w:shd w:val="clear" w:color="auto" w:fill="auto"/>
          </w:tcPr>
          <w:p w:rsidR="00FD2B27" w:rsidRDefault="00FD2B27">
            <w:pPr>
              <w:spacing w:after="480"/>
              <w:ind w:left="460" w:right="-108"/>
              <w:jc w:val="center"/>
              <w:rPr>
                <w:sz w:val="28"/>
                <w:szCs w:val="28"/>
              </w:rPr>
            </w:pPr>
          </w:p>
          <w:p w:rsidR="00FD2B27" w:rsidRDefault="00FD2B27">
            <w:pPr>
              <w:spacing w:line="360" w:lineRule="atLeast"/>
              <w:ind w:left="459" w:right="-108"/>
              <w:jc w:val="center"/>
              <w:rPr>
                <w:sz w:val="28"/>
                <w:szCs w:val="28"/>
              </w:rPr>
            </w:pPr>
          </w:p>
          <w:p w:rsidR="00FD2B27" w:rsidRDefault="000B6BBF">
            <w:pPr>
              <w:spacing w:line="360" w:lineRule="atLeast"/>
              <w:ind w:left="45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Территориальные органы</w:t>
            </w:r>
          </w:p>
          <w:p w:rsidR="00FD2B27" w:rsidRDefault="000B6BBF">
            <w:pPr>
              <w:spacing w:line="360" w:lineRule="atLeast"/>
              <w:ind w:left="45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Федерального казначейства</w:t>
            </w:r>
          </w:p>
          <w:p w:rsidR="00FD2B27" w:rsidRDefault="00FD2B27">
            <w:pPr>
              <w:spacing w:line="360" w:lineRule="atLeast"/>
              <w:ind w:left="459" w:right="-108"/>
              <w:jc w:val="center"/>
              <w:rPr>
                <w:sz w:val="28"/>
                <w:szCs w:val="28"/>
              </w:rPr>
            </w:pPr>
          </w:p>
        </w:tc>
      </w:tr>
      <w:tr w:rsidR="00FD2B27">
        <w:tc>
          <w:tcPr>
            <w:tcW w:w="4536" w:type="dxa"/>
            <w:shd w:val="clear" w:color="auto" w:fill="auto"/>
          </w:tcPr>
          <w:p w:rsidR="00FD2B27" w:rsidRDefault="00FD2B27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FD2B27" w:rsidRDefault="00FD2B27">
            <w:pPr>
              <w:spacing w:line="360" w:lineRule="atLeast"/>
              <w:ind w:left="459" w:right="-817"/>
              <w:jc w:val="center"/>
              <w:rPr>
                <w:sz w:val="28"/>
                <w:szCs w:val="28"/>
              </w:rPr>
            </w:pPr>
          </w:p>
        </w:tc>
      </w:tr>
    </w:tbl>
    <w:p w:rsidR="00FD2B27" w:rsidRDefault="000B6BBF">
      <w:pPr>
        <w:spacing w:line="180" w:lineRule="atLeas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 порядке возврата</w:t>
      </w:r>
    </w:p>
    <w:p w:rsidR="00FD2B27" w:rsidRDefault="000B6BBF">
      <w:pPr>
        <w:spacing w:line="180" w:lineRule="atLeas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невыясненных поступлений</w:t>
      </w:r>
    </w:p>
    <w:p w:rsidR="00FD2B27" w:rsidRDefault="00FD2B27">
      <w:pPr>
        <w:spacing w:line="180" w:lineRule="atLeast"/>
        <w:rPr>
          <w:sz w:val="20"/>
          <w:szCs w:val="20"/>
        </w:rPr>
      </w:pPr>
    </w:p>
    <w:p w:rsidR="00FD2B27" w:rsidRDefault="00FD2B27">
      <w:pPr>
        <w:spacing w:line="240" w:lineRule="atLeast"/>
        <w:rPr>
          <w:sz w:val="20"/>
          <w:szCs w:val="20"/>
        </w:rPr>
      </w:pPr>
    </w:p>
    <w:p w:rsidR="00FD2B27" w:rsidRDefault="000B6BBF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в целях осуществления </w:t>
      </w:r>
      <w:r>
        <w:rPr>
          <w:sz w:val="28"/>
          <w:szCs w:val="28"/>
        </w:rPr>
        <w:t>возврата (перечисления) невыясненных поступлений до внесения соответствующих изменений в пункты 55, 65 и 72 Порядка казначейского обслуживания, утвержденного приказом Федерального казначейства от 14.05.2020 № 21н (далее – Порядок № 21н), поручает территори</w:t>
      </w:r>
      <w:r>
        <w:rPr>
          <w:sz w:val="28"/>
          <w:szCs w:val="28"/>
        </w:rPr>
        <w:t>альным органам Федерального казначейства обеспечить возврат (перечисление) невыясненных поступлений, зачисленных на казначейские счета № 03212 «С</w:t>
      </w:r>
      <w:r>
        <w:rPr>
          <w:rFonts w:eastAsiaTheme="minorHAnsi"/>
          <w:sz w:val="28"/>
          <w:szCs w:val="28"/>
          <w:lang w:eastAsia="en-US"/>
        </w:rPr>
        <w:t>редства, поступающие во временное распоряжение получателей средств федерального бюджета»</w:t>
      </w:r>
      <w:r>
        <w:rPr>
          <w:sz w:val="28"/>
          <w:szCs w:val="28"/>
        </w:rPr>
        <w:t>, № 03214 «С</w:t>
      </w:r>
      <w:r>
        <w:rPr>
          <w:rFonts w:eastAsiaTheme="minorHAnsi"/>
          <w:sz w:val="28"/>
          <w:szCs w:val="28"/>
          <w:lang w:eastAsia="en-US"/>
        </w:rPr>
        <w:t>редства фед</w:t>
      </w:r>
      <w:r>
        <w:rPr>
          <w:rFonts w:eastAsiaTheme="minorHAnsi"/>
          <w:sz w:val="28"/>
          <w:szCs w:val="28"/>
          <w:lang w:eastAsia="en-US"/>
        </w:rPr>
        <w:t>еральных бюджетных и автономных учреждений»</w:t>
      </w:r>
      <w:r>
        <w:rPr>
          <w:sz w:val="28"/>
          <w:szCs w:val="28"/>
        </w:rPr>
        <w:t>, № 03216 «</w:t>
      </w:r>
      <w:r>
        <w:rPr>
          <w:rFonts w:eastAsiaTheme="minorHAnsi"/>
          <w:sz w:val="28"/>
          <w:szCs w:val="28"/>
          <w:lang w:eastAsia="en-US"/>
        </w:rPr>
        <w:t xml:space="preserve">Средства получателей средств из бюджета, источником финансового обеспечения которых являются средства федерального бюджета» </w:t>
      </w:r>
      <w:r>
        <w:rPr>
          <w:sz w:val="28"/>
          <w:szCs w:val="28"/>
        </w:rPr>
        <w:t xml:space="preserve">(далее – казначейские счета </w:t>
      </w:r>
      <w:r>
        <w:rPr>
          <w:rFonts w:eastAsiaTheme="minorHAnsi"/>
          <w:sz w:val="28"/>
          <w:szCs w:val="28"/>
          <w:lang w:eastAsia="en-US"/>
        </w:rPr>
        <w:t>№ 03212 (03214 и 03216</w:t>
      </w:r>
      <w:r>
        <w:rPr>
          <w:sz w:val="28"/>
          <w:szCs w:val="28"/>
        </w:rPr>
        <w:t>) в следующем порядке.</w:t>
      </w:r>
    </w:p>
    <w:p w:rsidR="00FD2B27" w:rsidRDefault="000B6BBF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</w:t>
      </w:r>
      <w:r>
        <w:rPr>
          <w:sz w:val="28"/>
          <w:szCs w:val="28"/>
        </w:rPr>
        <w:t xml:space="preserve">и поступлении письменного обращения плательщика о возврате денежных средств (перечислении денежных средств на другой казначейский счет) поступления, зачисленные на казначейские счета </w:t>
      </w:r>
      <w:r>
        <w:rPr>
          <w:sz w:val="28"/>
          <w:szCs w:val="28"/>
        </w:rPr>
        <w:br/>
        <w:t>№ 03212 (03214 и 03216) и учтенные как невыясненные поступления:</w:t>
      </w:r>
    </w:p>
    <w:p w:rsidR="00FD2B27" w:rsidRDefault="000B6BBF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возвр</w:t>
      </w:r>
      <w:r>
        <w:rPr>
          <w:sz w:val="28"/>
          <w:szCs w:val="28"/>
        </w:rPr>
        <w:t>ащаются территориальным органом Федерального казначейства на основании составленного им Распоряжения о совершении казначейского платежа плательщику;</w:t>
      </w:r>
    </w:p>
    <w:p w:rsidR="00FD2B27" w:rsidRDefault="000B6BBF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подлежат перечислению территориальным органом Федерального казначейства на другой казначейский счет по пр</w:t>
      </w:r>
      <w:r>
        <w:rPr>
          <w:sz w:val="28"/>
          <w:szCs w:val="28"/>
        </w:rPr>
        <w:t xml:space="preserve">инадлежности на основании соответствующего Распоряжения о совершении казначейского платежа, предусмотренного </w:t>
      </w:r>
      <w:hyperlink w:anchor="P960" w:history="1">
        <w:r>
          <w:rPr>
            <w:sz w:val="28"/>
            <w:szCs w:val="28"/>
          </w:rPr>
          <w:t>Приложением № 2</w:t>
        </w:r>
      </w:hyperlink>
      <w:r>
        <w:rPr>
          <w:sz w:val="28"/>
          <w:szCs w:val="28"/>
        </w:rPr>
        <w:t xml:space="preserve"> </w:t>
      </w:r>
      <w:hyperlink w:anchor="P4292" w:history="1">
        <w:r>
          <w:rPr>
            <w:sz w:val="28"/>
            <w:szCs w:val="28"/>
          </w:rPr>
          <w:t>(18)</w:t>
        </w:r>
      </w:hyperlink>
      <w:r>
        <w:rPr>
          <w:sz w:val="28"/>
          <w:szCs w:val="28"/>
        </w:rPr>
        <w:t xml:space="preserve"> к Порядку № 21н (Распоряжения о совершении казначейского платежа, предусмотренного </w:t>
      </w:r>
      <w:hyperlink r:id="rId9" w:history="1">
        <w:r>
          <w:rPr>
            <w:sz w:val="28"/>
            <w:szCs w:val="28"/>
          </w:rPr>
          <w:t>приложени</w:t>
        </w:r>
        <w:r>
          <w:rPr>
            <w:sz w:val="28"/>
            <w:szCs w:val="28"/>
          </w:rPr>
          <w:t>ем № 3</w:t>
        </w:r>
      </w:hyperlink>
      <w:r>
        <w:rPr>
          <w:sz w:val="28"/>
          <w:szCs w:val="28"/>
        </w:rPr>
        <w:t xml:space="preserve"> к Правилам функционирования системы казначейских платежей</w:t>
      </w:r>
      <w:r>
        <w:rPr>
          <w:rStyle w:val="ab"/>
          <w:sz w:val="28"/>
          <w:szCs w:val="28"/>
        </w:rPr>
        <w:footnoteReference w:id="1"/>
      </w:r>
      <w:r>
        <w:rPr>
          <w:sz w:val="28"/>
          <w:szCs w:val="28"/>
        </w:rPr>
        <w:t>).</w:t>
      </w:r>
    </w:p>
    <w:p w:rsidR="00FD2B27" w:rsidRDefault="000B6BBF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Возврат (перечисление) невыясненных поступлений с казначейских счетов № 03212 (03214 и 03216) осуществляется в срок, не превышающий 10 рабочих дней со дня, следующего за днем представле</w:t>
      </w:r>
      <w:r>
        <w:rPr>
          <w:rFonts w:ascii="Times New Roman" w:hAnsi="Times New Roman" w:cs="Times New Roman"/>
          <w:sz w:val="28"/>
          <w:szCs w:val="28"/>
        </w:rPr>
        <w:t>ния плательщиком письменного обращения. При этом ранее направленные Запросы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 xml:space="preserve"> подлежат отмене.</w:t>
      </w:r>
    </w:p>
    <w:p w:rsidR="00FD2B27" w:rsidRDefault="000B6BBF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этом Федеральное казначейство обращает внимание, что положения абзаца 3 пункта 55, абзаца 3 пункта 65 и абзаца 3 пункта 72 Порядка № 21н не применяются и буду</w:t>
      </w:r>
      <w:r>
        <w:rPr>
          <w:sz w:val="28"/>
          <w:szCs w:val="28"/>
        </w:rPr>
        <w:t>т исключены из Порядка № 21н.</w:t>
      </w:r>
    </w:p>
    <w:p w:rsidR="00FD2B27" w:rsidRDefault="000B6BBF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казначейство поручает довести положения настоящего письма до клиентов территориальных органов Федерального казначейства.</w:t>
      </w:r>
    </w:p>
    <w:p w:rsidR="00FD2B27" w:rsidRDefault="00FD2B27">
      <w:pPr>
        <w:autoSpaceDE w:val="0"/>
        <w:autoSpaceDN w:val="0"/>
        <w:adjustRightInd w:val="0"/>
        <w:spacing w:line="36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D2B27" w:rsidRDefault="000B6BBF">
      <w:pPr>
        <w:tabs>
          <w:tab w:val="left" w:pos="1395"/>
        </w:tabs>
        <w:spacing w:line="360" w:lineRule="atLeas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page">
              <wp:posOffset>3178175</wp:posOffset>
            </wp:positionH>
            <wp:positionV relativeFrom="page">
              <wp:posOffset>3781425</wp:posOffset>
            </wp:positionV>
            <wp:extent cx="2464938" cy="1057184"/>
            <wp:effectExtent l="0" t="0" r="0" b="0"/>
            <wp:wrapNone/>
            <wp:docPr id="2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938" cy="1057184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2B27" w:rsidRDefault="000B6BBF">
      <w:pPr>
        <w:tabs>
          <w:tab w:val="left" w:pos="1395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Р.Е. Артюхин</w:t>
      </w:r>
    </w:p>
    <w:sectPr w:rsidR="00FD2B27">
      <w:headerReference w:type="default" r:id="rId11"/>
      <w:footerReference w:type="default" r:id="rId12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B27" w:rsidRDefault="000B6BBF">
      <w:r>
        <w:separator/>
      </w:r>
    </w:p>
  </w:endnote>
  <w:endnote w:type="continuationSeparator" w:id="0">
    <w:p w:rsidR="00FD2B27" w:rsidRDefault="000B6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B27" w:rsidRDefault="00FD2B27">
    <w:pPr>
      <w:tabs>
        <w:tab w:val="left" w:pos="1395"/>
      </w:tabs>
      <w:jc w:val="right"/>
      <w:rPr>
        <w:sz w:val="28"/>
        <w:szCs w:val="28"/>
      </w:rPr>
    </w:pPr>
  </w:p>
  <w:p w:rsidR="00FD2B27" w:rsidRDefault="000B6BBF">
    <w:pPr>
      <w:tabs>
        <w:tab w:val="left" w:pos="1395"/>
      </w:tabs>
      <w:rPr>
        <w:sz w:val="16"/>
        <w:szCs w:val="16"/>
      </w:rPr>
    </w:pPr>
    <w:r>
      <w:rPr>
        <w:sz w:val="16"/>
        <w:szCs w:val="16"/>
      </w:rPr>
      <w:t>И.В. Паршина (15-73)</w:t>
    </w:r>
  </w:p>
  <w:p w:rsidR="00FD2B27" w:rsidRDefault="000B6BBF">
    <w:pPr>
      <w:tabs>
        <w:tab w:val="left" w:pos="1395"/>
      </w:tabs>
      <w:rPr>
        <w:sz w:val="16"/>
        <w:szCs w:val="16"/>
      </w:rPr>
    </w:pPr>
    <w:r>
      <w:rPr>
        <w:sz w:val="16"/>
        <w:szCs w:val="16"/>
      </w:rPr>
      <w:t xml:space="preserve">Е.В. </w:t>
    </w:r>
    <w:r>
      <w:rPr>
        <w:sz w:val="16"/>
        <w:szCs w:val="16"/>
      </w:rPr>
      <w:t>Джуромская (58-35)</w:t>
    </w:r>
  </w:p>
  <w:p w:rsidR="00FD2B27" w:rsidRDefault="00FD2B27">
    <w:pPr>
      <w:tabs>
        <w:tab w:val="left" w:pos="1395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B27" w:rsidRDefault="000B6BBF">
      <w:r>
        <w:separator/>
      </w:r>
    </w:p>
  </w:footnote>
  <w:footnote w:type="continuationSeparator" w:id="0">
    <w:p w:rsidR="00FD2B27" w:rsidRDefault="000B6BBF">
      <w:r>
        <w:continuationSeparator/>
      </w:r>
    </w:p>
  </w:footnote>
  <w:footnote w:id="1">
    <w:p w:rsidR="00FD2B27" w:rsidRDefault="000B6BBF">
      <w:pPr>
        <w:autoSpaceDE w:val="0"/>
        <w:autoSpaceDN w:val="0"/>
        <w:adjustRightInd w:val="0"/>
        <w:jc w:val="both"/>
      </w:pPr>
      <w:r>
        <w:rPr>
          <w:rStyle w:val="ab"/>
          <w:sz w:val="16"/>
          <w:szCs w:val="16"/>
        </w:rPr>
        <w:footnoteRef/>
      </w:r>
      <w:r>
        <w:t xml:space="preserve"> </w:t>
      </w:r>
      <w:r>
        <w:rPr>
          <w:rFonts w:eastAsiaTheme="minorHAnsi"/>
          <w:sz w:val="16"/>
          <w:szCs w:val="28"/>
          <w:lang w:eastAsia="en-US"/>
        </w:rPr>
        <w:t>Приказ Казначейства России от 13.05.2020 № 20н «Об утверждении Правил организации и функционирования системы казначейских платежей».</w:t>
      </w:r>
    </w:p>
  </w:footnote>
  <w:footnote w:id="2">
    <w:p w:rsidR="00FD2B27" w:rsidRDefault="000B6BBF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>
        <w:rPr>
          <w:sz w:val="16"/>
          <w:szCs w:val="28"/>
        </w:rPr>
        <w:t xml:space="preserve">Запрос на выяснение принадлежности платежа по форме согласно приложению № 8 к Порядку № 21н </w:t>
      </w:r>
      <w:r>
        <w:rPr>
          <w:sz w:val="16"/>
          <w:szCs w:val="28"/>
        </w:rPr>
        <w:t>(код формы по КФД 0531808) (далее – Запрос).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8442521"/>
      <w:docPartObj>
        <w:docPartGallery w:val="Page Numbers (Top of Page)"/>
        <w:docPartUnique/>
      </w:docPartObj>
    </w:sdtPr>
    <w:sdtEndPr/>
    <w:sdtContent>
      <w:p w:rsidR="00FD2B27" w:rsidRDefault="000B6BB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D2B27" w:rsidRDefault="00FD2B2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E32B0"/>
    <w:multiLevelType w:val="hybridMultilevel"/>
    <w:tmpl w:val="78943A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B17E63"/>
    <w:multiLevelType w:val="hybridMultilevel"/>
    <w:tmpl w:val="E9BA3354"/>
    <w:lvl w:ilvl="0" w:tplc="9BCAFB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B27"/>
    <w:rsid w:val="000B6BBF"/>
    <w:rsid w:val="00FD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3D6752B5-C81B-4EA4-A7A4-68E83135E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8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7B04AEACCFEAF340E51185F36055AD79A01B6F98414906C0B09B06C74BFB05913EAB68B811E0D20FE47E18ABE4B89A26DA17B8E9A13567958gB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B9661-AA67-47F6-A8CF-408FF2765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2428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Грачева Светлана Германовна</dc:creator>
  <cp:lastModifiedBy>Михайлова Ксения Валерьевна</cp:lastModifiedBy>
  <cp:revision>2</cp:revision>
  <cp:lastPrinted>2022-03-24T06:27:00Z</cp:lastPrinted>
  <dcterms:created xsi:type="dcterms:W3CDTF">2022-03-25T07:02:00Z</dcterms:created>
  <dcterms:modified xsi:type="dcterms:W3CDTF">2022-03-25T07:02:00Z</dcterms:modified>
</cp:coreProperties>
</file>